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D99E" w14:textId="77777777" w:rsidR="004613E9" w:rsidRDefault="00000000" w:rsidP="00DB3960">
      <w:pPr>
        <w:pStyle w:val="Title"/>
        <w:jc w:val="center"/>
      </w:pPr>
      <w:r>
        <w:t>How to Look for God’s Work in Your Life</w:t>
      </w:r>
    </w:p>
    <w:p w14:paraId="292C6C6C" w14:textId="77777777" w:rsidR="004613E9" w:rsidRDefault="00000000" w:rsidP="00DB3960">
      <w:pPr>
        <w:pStyle w:val="Title"/>
        <w:jc w:val="center"/>
      </w:pPr>
      <w:r>
        <w:t>(Based on a sermon by John Flavel)</w:t>
      </w:r>
    </w:p>
    <w:p w14:paraId="284845E6" w14:textId="77777777" w:rsidR="004613E9" w:rsidRDefault="00000000" w:rsidP="00A70743">
      <w:pPr>
        <w:pStyle w:val="Heading1"/>
      </w:pPr>
      <w:r>
        <w:t>Introduction: Why This Matters</w:t>
      </w:r>
    </w:p>
    <w:p w14:paraId="77AE5A26" w14:textId="77777777" w:rsidR="004613E9" w:rsidRDefault="00000000" w:rsidP="00A70743">
      <w:pPr>
        <w:pStyle w:val="Quotes"/>
      </w:pPr>
      <w:r>
        <w:t>“Providence is best discerned when it is pondered.” – John Flavel</w:t>
      </w:r>
    </w:p>
    <w:p w14:paraId="57AC46A3" w14:textId="23281C49" w:rsidR="004C31AE" w:rsidRDefault="004C31AE" w:rsidP="00A70743">
      <w:pPr>
        <w:pStyle w:val="Quotes"/>
      </w:pPr>
      <w:r w:rsidRPr="004C31AE">
        <w:t xml:space="preserve">Psalms 57:2-3 – “I will cry out to God Most High, </w:t>
      </w:r>
      <w:r w:rsidRPr="004C31AE">
        <w:br/>
        <w:t xml:space="preserve"> - To God who performs all things for me. </w:t>
      </w:r>
      <w:r w:rsidRPr="004C31AE">
        <w:br/>
        <w:t xml:space="preserve"> - He shall send from heaven and save me; </w:t>
      </w:r>
      <w:r w:rsidRPr="004C31AE">
        <w:br/>
        <w:t xml:space="preserve"> - He reproaches the one who would swallow me up.”</w:t>
      </w:r>
    </w:p>
    <w:p w14:paraId="14072A09" w14:textId="6FA4DB77" w:rsidR="008A17CE" w:rsidRPr="008A17CE" w:rsidRDefault="008A17CE" w:rsidP="00A70743">
      <w:pPr>
        <w:pStyle w:val="Quotes"/>
        <w:rPr>
          <w:i w:val="0"/>
          <w:iCs/>
        </w:rPr>
      </w:pPr>
      <w:r>
        <w:rPr>
          <w:i w:val="0"/>
          <w:iCs/>
        </w:rPr>
        <w:t>See Westmin</w:t>
      </w:r>
      <w:r w:rsidR="000379BD">
        <w:rPr>
          <w:i w:val="0"/>
          <w:iCs/>
        </w:rPr>
        <w:t>ster Confession, Article V for a robust definition of God’s Providence</w:t>
      </w:r>
    </w:p>
    <w:p w14:paraId="0C7DDF35" w14:textId="77777777" w:rsidR="004613E9" w:rsidRDefault="00000000" w:rsidP="00A70743">
      <w:pPr>
        <w:pStyle w:val="Heading1"/>
      </w:pPr>
      <w:r>
        <w:t>1st Duty: Reflect</w:t>
      </w:r>
    </w:p>
    <w:p w14:paraId="53E89958" w14:textId="77777777" w:rsidR="004613E9" w:rsidRPr="00A70743" w:rsidRDefault="00000000" w:rsidP="00A70743">
      <w:pPr>
        <w:pStyle w:val="Quotes"/>
      </w:pPr>
      <w:r w:rsidRPr="00A70743">
        <w:t>Matthew 6:28 – “Consider the lilies of the field, how they grow: they neither toil nor spin.”</w:t>
      </w:r>
    </w:p>
    <w:p w14:paraId="1D4F9B70" w14:textId="77777777" w:rsidR="004613E9" w:rsidRDefault="00000000" w:rsidP="00A70743">
      <w:pPr>
        <w:pStyle w:val="Quotes"/>
      </w:pPr>
      <w:r>
        <w:t>Psalm 111:2 – “The works of the LORD are great, studied by all who have pleasure in them.”</w:t>
      </w:r>
    </w:p>
    <w:p w14:paraId="120AE2B2" w14:textId="77777777" w:rsidR="004613E9" w:rsidRDefault="00000000" w:rsidP="00A70743">
      <w:pPr>
        <w:pStyle w:val="Bullets"/>
      </w:pPr>
      <w:r>
        <w:t>• Reflecting is a command, not an option.</w:t>
      </w:r>
    </w:p>
    <w:p w14:paraId="46A77352" w14:textId="77777777" w:rsidR="004613E9" w:rsidRPr="00A70743" w:rsidRDefault="00000000" w:rsidP="00A70743">
      <w:pPr>
        <w:pStyle w:val="Bullets"/>
      </w:pPr>
      <w:r w:rsidRPr="00A70743">
        <w:t>• The godly delight in observing His hand in creation and providence.</w:t>
      </w:r>
    </w:p>
    <w:p w14:paraId="20FFF485" w14:textId="77777777" w:rsidR="004613E9" w:rsidRDefault="00000000" w:rsidP="003A26DB">
      <w:pPr>
        <w:spacing w:after="120" w:line="240" w:lineRule="auto"/>
      </w:pPr>
      <w:r>
        <w:t>Notes:</w:t>
      </w:r>
    </w:p>
    <w:p w14:paraId="16546318" w14:textId="4C46948F" w:rsidR="00A70743" w:rsidRDefault="00A70743" w:rsidP="003A26DB">
      <w:pPr>
        <w:pStyle w:val="NoteLines"/>
      </w:pPr>
      <w:r w:rsidRPr="00A70743">
        <w:tab/>
      </w:r>
    </w:p>
    <w:p w14:paraId="75BAAE5D" w14:textId="15C02D09" w:rsidR="00A70743" w:rsidRDefault="00A70743" w:rsidP="003A26DB">
      <w:pPr>
        <w:pStyle w:val="NoteLines"/>
      </w:pPr>
      <w:r>
        <w:tab/>
      </w:r>
    </w:p>
    <w:p w14:paraId="0C86F383" w14:textId="19F78224" w:rsidR="004613E9" w:rsidRPr="00A70743" w:rsidRDefault="00A70743" w:rsidP="003A26DB">
      <w:pPr>
        <w:pStyle w:val="NoteLines"/>
      </w:pPr>
      <w:r>
        <w:tab/>
      </w:r>
    </w:p>
    <w:p w14:paraId="3038AFD9" w14:textId="4DC31FD5" w:rsidR="004613E9" w:rsidRPr="00A70743" w:rsidRDefault="00000000" w:rsidP="00A70743">
      <w:pPr>
        <w:pStyle w:val="Discussion"/>
      </w:pPr>
      <w:r w:rsidRPr="00A70743">
        <w:t xml:space="preserve">Discussion: </w:t>
      </w:r>
      <w:r w:rsidR="00047D13" w:rsidRPr="00047D13">
        <w:rPr>
          <w:b/>
          <w:bCs/>
          <w:i/>
          <w:iCs/>
        </w:rPr>
        <w:t>How do you reflect on God’s Providence in your life</w:t>
      </w:r>
      <w:r w:rsidRPr="00A70743">
        <w:t>?</w:t>
      </w:r>
    </w:p>
    <w:p w14:paraId="09BEE7B6" w14:textId="77777777" w:rsidR="004613E9" w:rsidRDefault="00000000" w:rsidP="00A70743">
      <w:pPr>
        <w:pStyle w:val="Heading1"/>
      </w:pPr>
      <w:r>
        <w:t>2nd Duty: Remember</w:t>
      </w:r>
    </w:p>
    <w:p w14:paraId="7BCBD65A" w14:textId="77777777" w:rsidR="004613E9" w:rsidRDefault="00000000" w:rsidP="00A70743">
      <w:pPr>
        <w:pStyle w:val="Quotes"/>
      </w:pPr>
      <w:r>
        <w:t>Deuteronomy 8:2 – “And you shall remember that the LORD your God led you all the way these forty years in the wilderness.”</w:t>
      </w:r>
    </w:p>
    <w:p w14:paraId="55EB4576" w14:textId="77777777" w:rsidR="004613E9" w:rsidRDefault="00000000" w:rsidP="00A70743">
      <w:pPr>
        <w:pStyle w:val="Quotes"/>
      </w:pPr>
      <w:r>
        <w:t>Psalm 77:11–12 – “I will remember the works of the LORD… I will also meditate on all Your work, and talk of Your deeds.”</w:t>
      </w:r>
    </w:p>
    <w:p w14:paraId="3DD4A8FE" w14:textId="77777777" w:rsidR="004613E9" w:rsidRDefault="00000000" w:rsidP="00A70743">
      <w:pPr>
        <w:pStyle w:val="Bullets"/>
      </w:pPr>
      <w:r>
        <w:t>• Remembering prevents unbelief and discouragement.</w:t>
      </w:r>
    </w:p>
    <w:p w14:paraId="2263EC0C" w14:textId="77777777" w:rsidR="004613E9" w:rsidRDefault="00000000" w:rsidP="00A70743">
      <w:pPr>
        <w:pStyle w:val="Bullets"/>
      </w:pPr>
      <w:r>
        <w:t>• Past mercies are pledges of future help.</w:t>
      </w:r>
    </w:p>
    <w:p w14:paraId="6E633EAE" w14:textId="77777777" w:rsidR="004613E9" w:rsidRDefault="00000000">
      <w:r>
        <w:t>Notes:</w:t>
      </w:r>
    </w:p>
    <w:p w14:paraId="5B927E8F" w14:textId="15B11C68" w:rsidR="004613E9" w:rsidRDefault="00A70743" w:rsidP="003A26DB">
      <w:pPr>
        <w:pStyle w:val="NoteLines"/>
      </w:pPr>
      <w:r>
        <w:tab/>
      </w:r>
    </w:p>
    <w:p w14:paraId="5427DF92" w14:textId="18B8CD3E" w:rsidR="00A70743" w:rsidRDefault="00A70743" w:rsidP="003A26DB">
      <w:pPr>
        <w:pStyle w:val="NoteLines"/>
      </w:pPr>
      <w:r>
        <w:tab/>
      </w:r>
    </w:p>
    <w:p w14:paraId="01528B20" w14:textId="56AFF290" w:rsidR="00A70743" w:rsidRDefault="00A70743" w:rsidP="003A26DB">
      <w:pPr>
        <w:pStyle w:val="NoteLines"/>
      </w:pPr>
      <w:r>
        <w:tab/>
      </w:r>
    </w:p>
    <w:p w14:paraId="1E0E1A61" w14:textId="0CA5B7CC" w:rsidR="004613E9" w:rsidRDefault="00000000" w:rsidP="00A70743">
      <w:pPr>
        <w:pStyle w:val="Discussion"/>
      </w:pPr>
      <w:r>
        <w:t xml:space="preserve">Discussion: </w:t>
      </w:r>
      <w:r w:rsidR="000D11E1" w:rsidRPr="000D11E1">
        <w:rPr>
          <w:b/>
          <w:bCs/>
          <w:i/>
          <w:iCs/>
        </w:rPr>
        <w:t>How has remembering God’s faithfulness helped you, now or in the past</w:t>
      </w:r>
      <w:r>
        <w:t>?</w:t>
      </w:r>
    </w:p>
    <w:p w14:paraId="1E16BA55" w14:textId="77777777" w:rsidR="004613E9" w:rsidRDefault="00000000" w:rsidP="00A70743">
      <w:pPr>
        <w:pStyle w:val="Heading1"/>
      </w:pPr>
      <w:r>
        <w:t>3rd Duty: Praise</w:t>
      </w:r>
    </w:p>
    <w:p w14:paraId="68F7001B" w14:textId="77777777" w:rsidR="004613E9" w:rsidRDefault="00000000" w:rsidP="00A70743">
      <w:pPr>
        <w:pStyle w:val="Quotes"/>
      </w:pPr>
      <w:r>
        <w:t>Psalm 145:4 – “One generation shall praise Your works to another, and shall declare Your mighty acts.”</w:t>
      </w:r>
    </w:p>
    <w:p w14:paraId="66CBF29C" w14:textId="77777777" w:rsidR="004613E9" w:rsidRDefault="00000000" w:rsidP="00A70743">
      <w:pPr>
        <w:pStyle w:val="Bullets"/>
      </w:pPr>
      <w:r>
        <w:lastRenderedPageBreak/>
        <w:t>• Public and private reflection glorifies God.</w:t>
      </w:r>
    </w:p>
    <w:p w14:paraId="39272C9B" w14:textId="77777777" w:rsidR="004613E9" w:rsidRDefault="00000000" w:rsidP="00A70743">
      <w:pPr>
        <w:pStyle w:val="Bullets"/>
      </w:pPr>
      <w:r>
        <w:t>• Sharing His providence encourages others to trust Him.</w:t>
      </w:r>
    </w:p>
    <w:p w14:paraId="2EE6F94C" w14:textId="77777777" w:rsidR="004613E9" w:rsidRDefault="00000000">
      <w:r>
        <w:t>Notes:</w:t>
      </w:r>
    </w:p>
    <w:p w14:paraId="6EB4AE7F" w14:textId="15A69998" w:rsidR="004613E9" w:rsidRDefault="00A70743" w:rsidP="003A26DB">
      <w:pPr>
        <w:pStyle w:val="NoteLines"/>
      </w:pPr>
      <w:r>
        <w:tab/>
      </w:r>
    </w:p>
    <w:p w14:paraId="60D2F25E" w14:textId="17A8FA82" w:rsidR="00A70743" w:rsidRDefault="00A70743" w:rsidP="003A26DB">
      <w:pPr>
        <w:pStyle w:val="NoteLines"/>
      </w:pPr>
      <w:r>
        <w:tab/>
      </w:r>
    </w:p>
    <w:p w14:paraId="1A7A0212" w14:textId="55AE1D8B" w:rsidR="00A70743" w:rsidRDefault="00A70743" w:rsidP="003A26DB">
      <w:pPr>
        <w:pStyle w:val="NoteLines"/>
      </w:pPr>
      <w:r>
        <w:tab/>
      </w:r>
    </w:p>
    <w:p w14:paraId="2497302E" w14:textId="42592914" w:rsidR="004613E9" w:rsidRDefault="00000000" w:rsidP="00520528">
      <w:pPr>
        <w:pStyle w:val="Discussion"/>
        <w:ind w:left="1170" w:hanging="1170"/>
      </w:pPr>
      <w:r>
        <w:t xml:space="preserve">Discussion: </w:t>
      </w:r>
      <w:r w:rsidR="0052366B" w:rsidRPr="0052366B">
        <w:rPr>
          <w:b/>
          <w:bCs/>
          <w:i/>
          <w:iCs/>
        </w:rPr>
        <w:t>How did God’s providence bring you to Christ?</w:t>
      </w:r>
      <w:r w:rsidR="00B80FD7">
        <w:rPr>
          <w:b/>
          <w:bCs/>
          <w:i/>
          <w:iCs/>
        </w:rPr>
        <w:t xml:space="preserve">   </w:t>
      </w:r>
      <w:r w:rsidR="00B80FD7">
        <w:rPr>
          <w:b/>
          <w:bCs/>
          <w:i/>
          <w:iCs/>
        </w:rPr>
        <w:br/>
      </w:r>
      <w:r w:rsidR="0052366B" w:rsidRPr="0052366B">
        <w:rPr>
          <w:b/>
          <w:bCs/>
          <w:i/>
          <w:iCs/>
        </w:rPr>
        <w:t>How might your story cause someone else to Praise God?</w:t>
      </w:r>
    </w:p>
    <w:p w14:paraId="572019DE" w14:textId="77777777" w:rsidR="004613E9" w:rsidRDefault="00000000" w:rsidP="00A70743">
      <w:pPr>
        <w:pStyle w:val="Heading1"/>
      </w:pPr>
      <w:r>
        <w:t>4th Duty: Rejoice</w:t>
      </w:r>
    </w:p>
    <w:p w14:paraId="058D4C98" w14:textId="77777777" w:rsidR="004613E9" w:rsidRDefault="00000000" w:rsidP="00A70743">
      <w:pPr>
        <w:pStyle w:val="Quotes"/>
      </w:pPr>
      <w:r>
        <w:t>Romans 8:28 – “And we know that all things work together for good to those who love God, to those who are the called according to His purpose.”</w:t>
      </w:r>
    </w:p>
    <w:p w14:paraId="18C008C3" w14:textId="77777777" w:rsidR="004613E9" w:rsidRPr="00A70743" w:rsidRDefault="00000000" w:rsidP="00A70743">
      <w:pPr>
        <w:pStyle w:val="Quotes"/>
      </w:pPr>
      <w:r w:rsidRPr="00A70743">
        <w:t>Habakkuk 3:17–18 – “Though the fig tree may not blossom… Yet I will rejoice in the LORD, I will joy in the God of my salvation.”</w:t>
      </w:r>
    </w:p>
    <w:p w14:paraId="1A1CD465" w14:textId="77777777" w:rsidR="004613E9" w:rsidRDefault="00000000" w:rsidP="00A70743">
      <w:pPr>
        <w:pStyle w:val="Bullets"/>
      </w:pPr>
      <w:r>
        <w:t>• Observing His works deepens trust, even when we don’t understand.</w:t>
      </w:r>
    </w:p>
    <w:p w14:paraId="5F0CD8F7" w14:textId="77777777" w:rsidR="004613E9" w:rsidRDefault="00000000" w:rsidP="00A70743">
      <w:pPr>
        <w:pStyle w:val="Bullets"/>
      </w:pPr>
      <w:r>
        <w:t>• Leads to worship in both prosperity and adversity.</w:t>
      </w:r>
    </w:p>
    <w:p w14:paraId="0AEC775E" w14:textId="77777777" w:rsidR="004613E9" w:rsidRDefault="00000000">
      <w:r>
        <w:t>Notes:</w:t>
      </w:r>
    </w:p>
    <w:p w14:paraId="5E6C42E6" w14:textId="6916FD9F" w:rsidR="004613E9" w:rsidRDefault="00A70743" w:rsidP="003A26DB">
      <w:pPr>
        <w:pStyle w:val="NoteLines"/>
      </w:pPr>
      <w:r>
        <w:tab/>
      </w:r>
    </w:p>
    <w:p w14:paraId="2A224ACA" w14:textId="009BE8CD" w:rsidR="00A70743" w:rsidRDefault="00A70743" w:rsidP="003A26DB">
      <w:pPr>
        <w:pStyle w:val="NoteLines"/>
      </w:pPr>
      <w:r>
        <w:tab/>
      </w:r>
    </w:p>
    <w:p w14:paraId="1614BF47" w14:textId="34FAB33A" w:rsidR="00A70743" w:rsidRDefault="00A70743" w:rsidP="003A26DB">
      <w:pPr>
        <w:pStyle w:val="NoteLines"/>
      </w:pPr>
      <w:r>
        <w:tab/>
      </w:r>
    </w:p>
    <w:p w14:paraId="7A4F544F" w14:textId="77777777" w:rsidR="004613E9" w:rsidRDefault="00000000" w:rsidP="00A70743">
      <w:pPr>
        <w:pStyle w:val="Discussion"/>
      </w:pPr>
      <w:r>
        <w:t xml:space="preserve">Discussion: </w:t>
      </w:r>
      <w:r w:rsidRPr="00252750">
        <w:rPr>
          <w:b/>
          <w:bCs/>
        </w:rPr>
        <w:t>How does reflecting on God’s providence help you worship in hard times?</w:t>
      </w:r>
    </w:p>
    <w:p w14:paraId="506243F9" w14:textId="77777777" w:rsidR="004613E9" w:rsidRDefault="00000000" w:rsidP="00A70743">
      <w:pPr>
        <w:pStyle w:val="Heading1"/>
      </w:pPr>
      <w:r>
        <w:t>Application: Cultivating Awareness of Providence</w:t>
      </w:r>
    </w:p>
    <w:p w14:paraId="64D6893D" w14:textId="77777777" w:rsidR="004613E9" w:rsidRDefault="00000000" w:rsidP="00A70743">
      <w:pPr>
        <w:pStyle w:val="Quotes"/>
      </w:pPr>
      <w:r>
        <w:t>Psalm 77:11–12 – “I will remember the works of the LORD… meditate on all Your work.”</w:t>
      </w:r>
    </w:p>
    <w:p w14:paraId="155BC493" w14:textId="77777777" w:rsidR="004613E9" w:rsidRDefault="00000000" w:rsidP="00A70743">
      <w:pPr>
        <w:pStyle w:val="Quotes"/>
      </w:pPr>
      <w:r>
        <w:t>Matthew 10:29–31 – “Not one of them falls to the ground apart from your Father’s will.”</w:t>
      </w:r>
    </w:p>
    <w:p w14:paraId="7C9105F4" w14:textId="77777777" w:rsidR="004613E9" w:rsidRDefault="00000000" w:rsidP="00A70743">
      <w:pPr>
        <w:pStyle w:val="Bullets"/>
      </w:pPr>
      <w:r>
        <w:t>• Stop &amp; Recall – Make time to rehearse God’s past mercies.</w:t>
      </w:r>
    </w:p>
    <w:p w14:paraId="629E5793" w14:textId="77777777" w:rsidR="004613E9" w:rsidRDefault="00000000" w:rsidP="00A70743">
      <w:pPr>
        <w:pStyle w:val="Bullets"/>
      </w:pPr>
      <w:r>
        <w:t>• Compare with Scripture – God’s providence never contradicts His Word.</w:t>
      </w:r>
    </w:p>
    <w:p w14:paraId="6F929F01" w14:textId="77777777" w:rsidR="004613E9" w:rsidRDefault="00000000" w:rsidP="00A70743">
      <w:pPr>
        <w:pStyle w:val="Bullets"/>
      </w:pPr>
      <w:r>
        <w:t>• Keep a Record – Journaling or recounting preserves memory.</w:t>
      </w:r>
    </w:p>
    <w:p w14:paraId="66EAEC30" w14:textId="77777777" w:rsidR="004613E9" w:rsidRDefault="00000000" w:rsidP="00A70743">
      <w:pPr>
        <w:pStyle w:val="Bullets"/>
      </w:pPr>
      <w:r>
        <w:t>• Look for God’s Hand Daily.</w:t>
      </w:r>
    </w:p>
    <w:p w14:paraId="5D73CCF8" w14:textId="77777777" w:rsidR="004613E9" w:rsidRDefault="00000000">
      <w:r>
        <w:t>Notes:</w:t>
      </w:r>
    </w:p>
    <w:p w14:paraId="2B4C6766" w14:textId="5ED5DC53" w:rsidR="004613E9" w:rsidRDefault="00A70743" w:rsidP="003A26DB">
      <w:pPr>
        <w:pStyle w:val="NoteLines"/>
      </w:pPr>
      <w:r>
        <w:tab/>
      </w:r>
    </w:p>
    <w:p w14:paraId="36090F58" w14:textId="149E81AE" w:rsidR="00A70743" w:rsidRDefault="00A70743" w:rsidP="003A26DB">
      <w:pPr>
        <w:pStyle w:val="NoteLines"/>
      </w:pPr>
      <w:r>
        <w:tab/>
      </w:r>
    </w:p>
    <w:p w14:paraId="31BB414C" w14:textId="77C4C0D2" w:rsidR="00A70743" w:rsidRDefault="00A70743" w:rsidP="003A26DB">
      <w:pPr>
        <w:pStyle w:val="NoteLines"/>
      </w:pPr>
      <w:r>
        <w:tab/>
      </w:r>
    </w:p>
    <w:p w14:paraId="2D2780B5" w14:textId="77777777" w:rsidR="004613E9" w:rsidRDefault="00000000" w:rsidP="00A70743">
      <w:pPr>
        <w:pStyle w:val="Discussion"/>
      </w:pPr>
      <w:r>
        <w:t xml:space="preserve">Discussion: </w:t>
      </w:r>
      <w:r w:rsidRPr="005C38D6">
        <w:rPr>
          <w:b/>
          <w:bCs/>
        </w:rPr>
        <w:t>Which of these habits could you begin (or renew) this week?</w:t>
      </w:r>
    </w:p>
    <w:p w14:paraId="5F81729F" w14:textId="77777777" w:rsidR="004613E9" w:rsidRDefault="00000000" w:rsidP="00A70743">
      <w:pPr>
        <w:pStyle w:val="Heading1"/>
      </w:pPr>
      <w:r>
        <w:t>Reflection</w:t>
      </w:r>
    </w:p>
    <w:p w14:paraId="041739EC" w14:textId="77777777" w:rsidR="004613E9" w:rsidRDefault="00000000" w:rsidP="00A70743">
      <w:pPr>
        <w:pStyle w:val="Quotes"/>
      </w:pPr>
      <w:r>
        <w:t>“He who observes providence shall never want a providence to observe.” – John Flavel</w:t>
      </w:r>
    </w:p>
    <w:p w14:paraId="0A15C564" w14:textId="77777777" w:rsidR="004613E9" w:rsidRDefault="00000000">
      <w:r>
        <w:t>Reflecting is for God’s glory, our faith, and our comfort.</w:t>
      </w:r>
    </w:p>
    <w:p w14:paraId="004238B7" w14:textId="5CB3D803" w:rsidR="004613E9" w:rsidRDefault="00C6088E" w:rsidP="00A70743">
      <w:pPr>
        <w:pStyle w:val="Discussion"/>
      </w:pPr>
      <w:r w:rsidRPr="00C6088E">
        <w:rPr>
          <w:b/>
          <w:bCs/>
        </w:rPr>
        <w:t>Pray, asking God to open your eyes to His daily mercies and help you speak of them to others</w:t>
      </w:r>
      <w:r w:rsidR="00520528">
        <w:rPr>
          <w:b/>
          <w:bCs/>
        </w:rPr>
        <w:t>.</w:t>
      </w:r>
      <w:r w:rsidR="00000000">
        <w:t>.</w:t>
      </w:r>
    </w:p>
    <w:sectPr w:rsidR="004613E9" w:rsidSect="00DB3960"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4164F30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578826150">
    <w:abstractNumId w:val="8"/>
  </w:num>
  <w:num w:numId="2" w16cid:durableId="1181361895">
    <w:abstractNumId w:val="6"/>
  </w:num>
  <w:num w:numId="3" w16cid:durableId="1900247384">
    <w:abstractNumId w:val="5"/>
  </w:num>
  <w:num w:numId="4" w16cid:durableId="1723559651">
    <w:abstractNumId w:val="4"/>
  </w:num>
  <w:num w:numId="5" w16cid:durableId="512839692">
    <w:abstractNumId w:val="7"/>
  </w:num>
  <w:num w:numId="6" w16cid:durableId="919825981">
    <w:abstractNumId w:val="3"/>
  </w:num>
  <w:num w:numId="7" w16cid:durableId="767115687">
    <w:abstractNumId w:val="2"/>
  </w:num>
  <w:num w:numId="8" w16cid:durableId="1140727496">
    <w:abstractNumId w:val="1"/>
  </w:num>
  <w:num w:numId="9" w16cid:durableId="1412316631">
    <w:abstractNumId w:val="0"/>
  </w:num>
  <w:num w:numId="10" w16cid:durableId="184948696">
    <w:abstractNumId w:val="9"/>
  </w:num>
  <w:num w:numId="11" w16cid:durableId="1982421670">
    <w:abstractNumId w:val="9"/>
  </w:num>
  <w:num w:numId="12" w16cid:durableId="1314408646">
    <w:abstractNumId w:val="9"/>
  </w:num>
  <w:num w:numId="13" w16cid:durableId="225337311">
    <w:abstractNumId w:val="9"/>
  </w:num>
  <w:num w:numId="14" w16cid:durableId="2113360550">
    <w:abstractNumId w:val="9"/>
  </w:num>
  <w:num w:numId="15" w16cid:durableId="593591537">
    <w:abstractNumId w:val="9"/>
  </w:num>
  <w:num w:numId="16" w16cid:durableId="420445369">
    <w:abstractNumId w:val="9"/>
  </w:num>
  <w:num w:numId="17" w16cid:durableId="2034921299">
    <w:abstractNumId w:val="9"/>
  </w:num>
  <w:num w:numId="18" w16cid:durableId="657809808">
    <w:abstractNumId w:val="9"/>
  </w:num>
  <w:num w:numId="19" w16cid:durableId="543059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9BD"/>
    <w:rsid w:val="00047D13"/>
    <w:rsid w:val="0006063C"/>
    <w:rsid w:val="000D11E1"/>
    <w:rsid w:val="0015074B"/>
    <w:rsid w:val="00252750"/>
    <w:rsid w:val="0029639D"/>
    <w:rsid w:val="00326F90"/>
    <w:rsid w:val="003A26DB"/>
    <w:rsid w:val="004613E9"/>
    <w:rsid w:val="004B77AA"/>
    <w:rsid w:val="004C31AE"/>
    <w:rsid w:val="00520528"/>
    <w:rsid w:val="0052366B"/>
    <w:rsid w:val="005C38D6"/>
    <w:rsid w:val="007617B4"/>
    <w:rsid w:val="008A17CE"/>
    <w:rsid w:val="00A70743"/>
    <w:rsid w:val="00AA1D8D"/>
    <w:rsid w:val="00AE3333"/>
    <w:rsid w:val="00B47730"/>
    <w:rsid w:val="00B80FD7"/>
    <w:rsid w:val="00C6088E"/>
    <w:rsid w:val="00CB0664"/>
    <w:rsid w:val="00DB3960"/>
    <w:rsid w:val="00F406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8AC830"/>
  <w14:defaultImageDpi w14:val="300"/>
  <w15:docId w15:val="{97125008-8C54-4820-A9FF-14A27D58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60"/>
  </w:style>
  <w:style w:type="paragraph" w:styleId="Heading1">
    <w:name w:val="heading 1"/>
    <w:basedOn w:val="Normal"/>
    <w:next w:val="Normal"/>
    <w:link w:val="Heading1Char"/>
    <w:uiPriority w:val="9"/>
    <w:qFormat/>
    <w:rsid w:val="00A70743"/>
    <w:pPr>
      <w:keepNext/>
      <w:keepLines/>
      <w:numPr>
        <w:numId w:val="19"/>
      </w:numPr>
      <w:pBdr>
        <w:bottom w:val="single" w:sz="4" w:space="1" w:color="595959" w:themeColor="text1" w:themeTint="A6"/>
      </w:pBdr>
      <w:spacing w:before="24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960"/>
    <w:pPr>
      <w:keepNext/>
      <w:keepLines/>
      <w:numPr>
        <w:ilvl w:val="1"/>
        <w:numId w:val="1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3960"/>
    <w:pPr>
      <w:keepNext/>
      <w:keepLines/>
      <w:numPr>
        <w:ilvl w:val="2"/>
        <w:numId w:val="1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960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960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960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960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960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960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DB396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7074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B396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3960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DB39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96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96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DB3960"/>
    <w:rPr>
      <w:color w:val="5A5A5A" w:themeColor="text1" w:themeTint="A5"/>
      <w:spacing w:val="10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B396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B3960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96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960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960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9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9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9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3960"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B3960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DB3960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96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960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DB396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3960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DB396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B396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B3960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3960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1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  <w:shd w:val="clear" w:color="auto" w:fill="F8C3B4" w:themeFill="accent1" w:themeFillTint="3F"/>
      </w:tcPr>
    </w:tblStylePr>
    <w:tblStylePr w:type="band2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1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  <w:shd w:val="clear" w:color="auto" w:fill="F8D4C1" w:themeFill="accent2" w:themeFillTint="3F"/>
      </w:tcPr>
    </w:tblStylePr>
    <w:tblStylePr w:type="band2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1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  <w:shd w:val="clear" w:color="auto" w:fill="F7E5C9" w:themeFill="accent3" w:themeFillTint="3F"/>
      </w:tcPr>
    </w:tblStylePr>
    <w:tblStylePr w:type="band2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1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  <w:shd w:val="clear" w:color="auto" w:fill="EBE6DE" w:themeFill="accent4" w:themeFillTint="3F"/>
      </w:tcPr>
    </w:tblStylePr>
    <w:tblStylePr w:type="band2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1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  <w:shd w:val="clear" w:color="auto" w:fill="E1D6D1" w:themeFill="accent5" w:themeFillTint="3F"/>
      </w:tcPr>
    </w:tblStylePr>
    <w:tblStylePr w:type="band2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1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  <w:shd w:val="clear" w:color="auto" w:fill="ECDED1" w:themeFill="accent6" w:themeFillTint="3F"/>
      </w:tcPr>
    </w:tblStylePr>
    <w:tblStylePr w:type="band2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3B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4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5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6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6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E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300F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shd w:val="clear" w:color="auto" w:fill="F8C3B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81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shd w:val="clear" w:color="auto" w:fill="F8D4C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9825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shd w:val="clear" w:color="auto" w:fill="F7E5C9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9C7D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shd w:val="clear" w:color="auto" w:fill="EBE6DE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5F52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shd w:val="clear" w:color="auto" w:fill="E1D6D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7D4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shd w:val="clear" w:color="auto" w:fill="ECDED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30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30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30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30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3B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581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81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81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4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982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982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982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5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9C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9C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9C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6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5F5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5F5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5F5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6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7D4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7D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7D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E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  <w:insideV w:val="single" w:sz="8" w:space="0" w:color="EA491C" w:themeColor="accent1" w:themeTint="BF"/>
      </w:tblBorders>
    </w:tblPr>
    <w:tcPr>
      <w:shd w:val="clear" w:color="auto" w:fill="F8C3B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491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  <w:insideV w:val="single" w:sz="8" w:space="0" w:color="EB7E44" w:themeColor="accent2" w:themeTint="BF"/>
      </w:tblBorders>
    </w:tblPr>
    <w:tcPr>
      <w:shd w:val="clear" w:color="auto" w:fill="F8D4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E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  <w:insideV w:val="single" w:sz="8" w:space="0" w:color="E8B15B" w:themeColor="accent3" w:themeTint="BF"/>
      </w:tblBorders>
    </w:tblPr>
    <w:tcPr>
      <w:shd w:val="clear" w:color="auto" w:fill="F7E5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B15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  <w:insideV w:val="single" w:sz="8" w:space="0" w:color="C4B49D" w:themeColor="accent4" w:themeTint="BF"/>
      </w:tblBorders>
    </w:tblPr>
    <w:tcPr>
      <w:shd w:val="clear" w:color="auto" w:fill="EBE6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B4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  <w:insideV w:val="single" w:sz="8" w:space="0" w:color="A68375" w:themeColor="accent5" w:themeTint="BF"/>
      </w:tblBorders>
    </w:tblPr>
    <w:tcPr>
      <w:shd w:val="clear" w:color="auto" w:fill="E1D6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83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  <w:insideV w:val="single" w:sz="8" w:space="0" w:color="C69D75" w:themeColor="accent6" w:themeTint="BF"/>
      </w:tblBorders>
    </w:tblPr>
    <w:tcPr>
      <w:shd w:val="clear" w:color="auto" w:fill="ECDE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9D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cPr>
      <w:shd w:val="clear" w:color="auto" w:fill="F8C3B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7E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EC2" w:themeFill="accent1" w:themeFillTint="33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tcBorders>
          <w:insideH w:val="single" w:sz="6" w:space="0" w:color="A5300F" w:themeColor="accent1"/>
          <w:insideV w:val="single" w:sz="6" w:space="0" w:color="A5300F" w:themeColor="accent1"/>
        </w:tcBorders>
        <w:shd w:val="clear" w:color="auto" w:fill="F1866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cPr>
      <w:shd w:val="clear" w:color="auto" w:fill="F8D4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D" w:themeFill="accent2" w:themeFillTint="33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tcBorders>
          <w:insideH w:val="single" w:sz="6" w:space="0" w:color="D55816" w:themeColor="accent2"/>
          <w:insideV w:val="single" w:sz="6" w:space="0" w:color="D55816" w:themeColor="accent2"/>
        </w:tcBorders>
        <w:shd w:val="clear" w:color="auto" w:fill="F2A9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cPr>
      <w:shd w:val="clear" w:color="auto" w:fill="F7E5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AD3" w:themeFill="accent3" w:themeFillTint="33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tcBorders>
          <w:insideH w:val="single" w:sz="6" w:space="0" w:color="E19825" w:themeColor="accent3"/>
          <w:insideV w:val="single" w:sz="6" w:space="0" w:color="E19825" w:themeColor="accent3"/>
        </w:tcBorders>
        <w:shd w:val="clear" w:color="auto" w:fill="F0CB9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cPr>
      <w:shd w:val="clear" w:color="auto" w:fill="EBE6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E4" w:themeFill="accent4" w:themeFillTint="33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tcBorders>
          <w:insideH w:val="single" w:sz="6" w:space="0" w:color="B19C7D" w:themeColor="accent4"/>
          <w:insideV w:val="single" w:sz="6" w:space="0" w:color="B19C7D" w:themeColor="accent4"/>
        </w:tcBorders>
        <w:shd w:val="clear" w:color="auto" w:fill="D8CD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cPr>
      <w:shd w:val="clear" w:color="auto" w:fill="E1D6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EDA" w:themeFill="accent5" w:themeFillTint="33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tcBorders>
          <w:insideH w:val="single" w:sz="6" w:space="0" w:color="7F5F52" w:themeColor="accent5"/>
          <w:insideV w:val="single" w:sz="6" w:space="0" w:color="7F5F52" w:themeColor="accent5"/>
        </w:tcBorders>
        <w:shd w:val="clear" w:color="auto" w:fill="C4AD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cPr>
      <w:shd w:val="clear" w:color="auto" w:fill="ECDE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DA" w:themeFill="accent6" w:themeFillTint="33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tcBorders>
          <w:insideH w:val="single" w:sz="6" w:space="0" w:color="B27D49" w:themeColor="accent6"/>
          <w:insideV w:val="single" w:sz="6" w:space="0" w:color="B27D49" w:themeColor="accent6"/>
        </w:tcBorders>
        <w:shd w:val="clear" w:color="auto" w:fill="D9BE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3B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866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866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4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9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982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5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B9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B9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6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CD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CDBE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6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D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DA3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E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BE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BEA3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23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2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1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4B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711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4E3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765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F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7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3E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5D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1C0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1C09" w:themeColor="accent1" w:themeShade="99"/>
          <w:insideV w:val="nil"/>
        </w:tcBorders>
        <w:shd w:val="clear" w:color="auto" w:fill="631C0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C09" w:themeFill="accent1" w:themeFillShade="99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1866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4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40D" w:themeColor="accent2" w:themeShade="99"/>
          <w:insideV w:val="nil"/>
        </w:tcBorders>
        <w:shd w:val="clear" w:color="auto" w:fill="7F34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99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2A9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9C7D" w:themeColor="accent4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5B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5B13" w:themeColor="accent3" w:themeShade="99"/>
          <w:insideV w:val="nil"/>
        </w:tcBorders>
        <w:shd w:val="clear" w:color="auto" w:fill="895B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5B13" w:themeFill="accent3" w:themeFillShade="99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9825" w:themeColor="accent3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5E4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5E44" w:themeColor="accent4" w:themeShade="99"/>
          <w:insideV w:val="nil"/>
        </w:tcBorders>
        <w:shd w:val="clear" w:color="auto" w:fill="715E4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E44" w:themeFill="accent4" w:themeFillShade="99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8CD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7D49" w:themeColor="accent6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8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831" w:themeColor="accent5" w:themeShade="99"/>
          <w:insideV w:val="nil"/>
        </w:tcBorders>
        <w:shd w:val="clear" w:color="auto" w:fill="4C38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31" w:themeFill="accent5" w:themeFillShade="99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4AD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5F52" w:themeColor="accent5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4A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4A2B" w:themeColor="accent6" w:themeShade="99"/>
          <w:insideV w:val="nil"/>
        </w:tcBorders>
        <w:shd w:val="clear" w:color="auto" w:fill="6A4A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4A2B" w:themeFill="accent6" w:themeFillShade="99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D9BE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7E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7E5A" w:themeFill="accent4" w:themeFillShade="CC"/>
      </w:tcPr>
    </w:tblStylePr>
    <w:tblStylePr w:type="lastRow">
      <w:rPr>
        <w:b/>
        <w:bCs/>
        <w:color w:val="967E5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7919" w:themeFill="accent3" w:themeFillShade="CC"/>
      </w:tcPr>
    </w:tblStylePr>
    <w:tblStylePr w:type="lastRow">
      <w:rPr>
        <w:b/>
        <w:bCs/>
        <w:color w:val="B779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33A" w:themeFill="accent6" w:themeFillShade="CC"/>
      </w:tcPr>
    </w:tblStylePr>
    <w:tblStylePr w:type="lastRow">
      <w:rPr>
        <w:b/>
        <w:bCs/>
        <w:color w:val="8E63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4B41" w:themeFill="accent5" w:themeFillShade="CC"/>
      </w:tcPr>
    </w:tblStylePr>
    <w:tblStylePr w:type="lastRow">
      <w:rPr>
        <w:b/>
        <w:bCs/>
        <w:color w:val="654B4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</w:rPr>
      <w:tblPr/>
      <w:tcPr>
        <w:shd w:val="clear" w:color="auto" w:fill="F49E8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9E8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</w:rPr>
      <w:tblPr/>
      <w:tcPr>
        <w:shd w:val="clear" w:color="auto" w:fill="F4BA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A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</w:rPr>
      <w:tblPr/>
      <w:tcPr>
        <w:shd w:val="clear" w:color="auto" w:fill="F3D5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D5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</w:rPr>
      <w:tblPr/>
      <w:tcPr>
        <w:shd w:val="clear" w:color="auto" w:fill="DFD7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D7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</w:rPr>
      <w:tblPr/>
      <w:tcPr>
        <w:shd w:val="clear" w:color="auto" w:fill="CFBD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D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</w:rPr>
      <w:tblPr/>
      <w:tcPr>
        <w:shd w:val="clear" w:color="auto" w:fill="E1CA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CA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paragraph" w:customStyle="1" w:styleId="Quotes">
    <w:name w:val="Quotes"/>
    <w:basedOn w:val="Normal"/>
    <w:qFormat/>
    <w:rsid w:val="00A70743"/>
    <w:pPr>
      <w:spacing w:after="120"/>
    </w:pPr>
    <w:rPr>
      <w:i/>
      <w:color w:val="003366"/>
      <w:sz w:val="24"/>
      <w:szCs w:val="24"/>
    </w:rPr>
  </w:style>
  <w:style w:type="paragraph" w:customStyle="1" w:styleId="Bullets">
    <w:name w:val="Bullets"/>
    <w:basedOn w:val="Normal"/>
    <w:qFormat/>
    <w:rsid w:val="00A70743"/>
    <w:pPr>
      <w:spacing w:after="80"/>
    </w:pPr>
    <w:rPr>
      <w:sz w:val="24"/>
      <w:szCs w:val="24"/>
    </w:rPr>
  </w:style>
  <w:style w:type="paragraph" w:customStyle="1" w:styleId="Discussion">
    <w:name w:val="Discussion"/>
    <w:basedOn w:val="Normal"/>
    <w:qFormat/>
    <w:rsid w:val="00A70743"/>
    <w:rPr>
      <w:color w:val="660000"/>
      <w:sz w:val="24"/>
      <w:szCs w:val="24"/>
    </w:rPr>
  </w:style>
  <w:style w:type="paragraph" w:customStyle="1" w:styleId="NoteLines">
    <w:name w:val="NoteLines"/>
    <w:basedOn w:val="Normal"/>
    <w:qFormat/>
    <w:rsid w:val="007617B4"/>
    <w:pPr>
      <w:tabs>
        <w:tab w:val="left" w:pos="10800"/>
      </w:tabs>
      <w:spacing w:after="60" w:line="240" w:lineRule="auto"/>
    </w:pPr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52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 Gregory</cp:lastModifiedBy>
  <cp:revision>16</cp:revision>
  <dcterms:created xsi:type="dcterms:W3CDTF">2025-07-19T14:56:00Z</dcterms:created>
  <dcterms:modified xsi:type="dcterms:W3CDTF">2025-07-19T15:42:00Z</dcterms:modified>
  <cp:category/>
</cp:coreProperties>
</file>